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65825534"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AB14D4">
        <w:rPr>
          <w:rFonts w:asciiTheme="minorBidi" w:hAnsiTheme="minorBidi"/>
          <w:b/>
          <w:bCs/>
          <w:sz w:val="24"/>
          <w:szCs w:val="24"/>
        </w:rPr>
        <w:t>514</w:t>
      </w:r>
      <w:r w:rsidR="00D64B75">
        <w:rPr>
          <w:rFonts w:asciiTheme="minorBidi" w:hAnsiTheme="minorBidi"/>
          <w:b/>
          <w:bCs/>
          <w:sz w:val="24"/>
          <w:szCs w:val="24"/>
        </w:rPr>
        <w:t>-24</w:t>
      </w:r>
      <w:r w:rsidRPr="00882B2E">
        <w:rPr>
          <w:rFonts w:asciiTheme="minorBidi" w:hAnsiTheme="minorBidi"/>
          <w:b/>
          <w:bCs/>
          <w:sz w:val="24"/>
          <w:szCs w:val="24"/>
        </w:rPr>
        <w:t xml:space="preserve"> H</w:t>
      </w:r>
    </w:p>
    <w:p w14:paraId="451D9C2D" w14:textId="77777777" w:rsidR="00474DE0" w:rsidRDefault="00474DE0" w:rsidP="00882B2E">
      <w:pPr>
        <w:jc w:val="center"/>
        <w:rPr>
          <w:rFonts w:asciiTheme="minorBidi" w:hAnsiTheme="minorBidi"/>
          <w:b/>
          <w:bCs/>
          <w:sz w:val="24"/>
          <w:szCs w:val="24"/>
        </w:rPr>
      </w:pPr>
      <w:r w:rsidRPr="00474DE0">
        <w:rPr>
          <w:rFonts w:asciiTheme="minorBidi" w:hAnsiTheme="minorBidi"/>
          <w:b/>
          <w:bCs/>
          <w:sz w:val="24"/>
          <w:szCs w:val="24"/>
        </w:rPr>
        <w:t>Electrical Systems for Transportation</w:t>
      </w:r>
    </w:p>
    <w:p w14:paraId="2299E9B3" w14:textId="2C8D55B4" w:rsidR="00AB14D4" w:rsidRDefault="00AB14D4" w:rsidP="00882B2E">
      <w:pPr>
        <w:jc w:val="center"/>
        <w:rPr>
          <w:rFonts w:asciiTheme="minorBidi" w:hAnsiTheme="minorBidi" w:cs="Arial"/>
          <w:b/>
          <w:bCs/>
          <w:sz w:val="24"/>
          <w:szCs w:val="24"/>
        </w:rPr>
      </w:pPr>
      <w:r w:rsidRPr="00AB14D4">
        <w:rPr>
          <w:rFonts w:asciiTheme="minorBidi" w:hAnsiTheme="minorBidi"/>
          <w:b/>
          <w:bCs/>
          <w:sz w:val="24"/>
          <w:szCs w:val="24"/>
        </w:rPr>
        <w:t xml:space="preserve">Application of </w:t>
      </w:r>
      <w:r>
        <w:rPr>
          <w:rFonts w:asciiTheme="minorBidi" w:hAnsiTheme="minorBidi"/>
          <w:b/>
          <w:bCs/>
          <w:sz w:val="24"/>
          <w:szCs w:val="24"/>
        </w:rPr>
        <w:t>U</w:t>
      </w:r>
      <w:r w:rsidRPr="00AB14D4">
        <w:rPr>
          <w:rFonts w:asciiTheme="minorBidi" w:hAnsiTheme="minorBidi"/>
          <w:b/>
          <w:bCs/>
          <w:sz w:val="24"/>
          <w:szCs w:val="24"/>
        </w:rPr>
        <w:t xml:space="preserve">nique </w:t>
      </w:r>
      <w:r>
        <w:rPr>
          <w:rFonts w:asciiTheme="minorBidi" w:hAnsiTheme="minorBidi"/>
          <w:b/>
          <w:bCs/>
          <w:sz w:val="24"/>
          <w:szCs w:val="24"/>
        </w:rPr>
        <w:t>F</w:t>
      </w:r>
      <w:r w:rsidRPr="00AB14D4">
        <w:rPr>
          <w:rFonts w:asciiTheme="minorBidi" w:hAnsiTheme="minorBidi"/>
          <w:b/>
          <w:bCs/>
          <w:sz w:val="24"/>
          <w:szCs w:val="24"/>
        </w:rPr>
        <w:t xml:space="preserve">ire </w:t>
      </w:r>
      <w:r>
        <w:rPr>
          <w:rFonts w:asciiTheme="minorBidi" w:hAnsiTheme="minorBidi"/>
          <w:b/>
          <w:bCs/>
          <w:sz w:val="24"/>
          <w:szCs w:val="24"/>
        </w:rPr>
        <w:t>S</w:t>
      </w:r>
      <w:r w:rsidRPr="00AB14D4">
        <w:rPr>
          <w:rFonts w:asciiTheme="minorBidi" w:hAnsiTheme="minorBidi"/>
          <w:b/>
          <w:bCs/>
          <w:sz w:val="24"/>
          <w:szCs w:val="24"/>
        </w:rPr>
        <w:t xml:space="preserve">afety in </w:t>
      </w:r>
      <w:r>
        <w:rPr>
          <w:rFonts w:asciiTheme="minorBidi" w:hAnsiTheme="minorBidi"/>
          <w:b/>
          <w:bCs/>
          <w:sz w:val="24"/>
          <w:szCs w:val="24"/>
        </w:rPr>
        <w:t>R</w:t>
      </w:r>
      <w:r w:rsidRPr="00AB14D4">
        <w:rPr>
          <w:rFonts w:asciiTheme="minorBidi" w:hAnsiTheme="minorBidi"/>
          <w:b/>
          <w:bCs/>
          <w:sz w:val="24"/>
          <w:szCs w:val="24"/>
        </w:rPr>
        <w:t xml:space="preserve">ed </w:t>
      </w:r>
      <w:r>
        <w:rPr>
          <w:rFonts w:asciiTheme="minorBidi" w:hAnsiTheme="minorBidi"/>
          <w:b/>
          <w:bCs/>
          <w:sz w:val="24"/>
          <w:szCs w:val="24"/>
        </w:rPr>
        <w:t>L</w:t>
      </w:r>
      <w:r w:rsidRPr="00AB14D4">
        <w:rPr>
          <w:rFonts w:asciiTheme="minorBidi" w:hAnsiTheme="minorBidi"/>
          <w:b/>
          <w:bCs/>
          <w:sz w:val="24"/>
          <w:szCs w:val="24"/>
        </w:rPr>
        <w:t xml:space="preserve">ine </w:t>
      </w:r>
      <w:r>
        <w:rPr>
          <w:rFonts w:asciiTheme="minorBidi" w:hAnsiTheme="minorBidi"/>
          <w:b/>
          <w:bCs/>
          <w:sz w:val="24"/>
          <w:szCs w:val="24"/>
        </w:rPr>
        <w:t>P</w:t>
      </w:r>
      <w:r w:rsidRPr="00AB14D4">
        <w:rPr>
          <w:rFonts w:asciiTheme="minorBidi" w:hAnsiTheme="minorBidi"/>
          <w:b/>
          <w:bCs/>
          <w:sz w:val="24"/>
          <w:szCs w:val="24"/>
        </w:rPr>
        <w:t>roject</w:t>
      </w:r>
      <w:r w:rsidRPr="00AB14D4">
        <w:rPr>
          <w:rFonts w:asciiTheme="minorBidi" w:hAnsiTheme="minorBidi" w:cs="Arial"/>
          <w:b/>
          <w:bCs/>
          <w:sz w:val="24"/>
          <w:szCs w:val="24"/>
          <w:rtl/>
        </w:rPr>
        <w:t xml:space="preserve"> </w:t>
      </w:r>
    </w:p>
    <w:p w14:paraId="49869FF5" w14:textId="77777777" w:rsidR="00AB14D4" w:rsidRDefault="00AB14D4" w:rsidP="00882B2E">
      <w:pPr>
        <w:jc w:val="center"/>
        <w:rPr>
          <w:rFonts w:asciiTheme="minorBidi" w:hAnsiTheme="minorBidi" w:cs="Arial"/>
          <w:b/>
          <w:bCs/>
          <w:sz w:val="24"/>
          <w:szCs w:val="24"/>
        </w:rPr>
      </w:pPr>
      <w:r w:rsidRPr="00AB14D4">
        <w:rPr>
          <w:rFonts w:asciiTheme="minorBidi" w:hAnsiTheme="minorBidi" w:cs="Arial"/>
          <w:b/>
          <w:bCs/>
          <w:sz w:val="24"/>
          <w:szCs w:val="24"/>
          <w:rtl/>
        </w:rPr>
        <w:t xml:space="preserve">יישום דרישות בטיחות אש ייחודיות במנהרות ברכ"ל קו אדום </w:t>
      </w:r>
    </w:p>
    <w:p w14:paraId="6D0CD6E0" w14:textId="72B26615" w:rsidR="00AB14D4" w:rsidRDefault="00AB14D4" w:rsidP="00882B2E">
      <w:pPr>
        <w:jc w:val="center"/>
        <w:rPr>
          <w:rFonts w:asciiTheme="minorBidi" w:hAnsiTheme="minorBidi" w:cs="Arial"/>
          <w:b/>
          <w:bCs/>
          <w:sz w:val="24"/>
          <w:szCs w:val="24"/>
        </w:rPr>
      </w:pPr>
      <w:r w:rsidRPr="00AB14D4">
        <w:rPr>
          <w:rFonts w:asciiTheme="minorBidi" w:hAnsiTheme="minorBidi" w:cs="Arial"/>
          <w:b/>
          <w:bCs/>
          <w:sz w:val="24"/>
          <w:szCs w:val="24"/>
        </w:rPr>
        <w:t>As</w:t>
      </w:r>
      <w:r w:rsidR="00D4731A">
        <w:rPr>
          <w:rFonts w:asciiTheme="minorBidi" w:hAnsiTheme="minorBidi" w:cs="Arial"/>
          <w:b/>
          <w:bCs/>
          <w:sz w:val="24"/>
          <w:szCs w:val="24"/>
        </w:rPr>
        <w:t>h</w:t>
      </w:r>
      <w:r w:rsidRPr="00AB14D4">
        <w:rPr>
          <w:rFonts w:asciiTheme="minorBidi" w:hAnsiTheme="minorBidi" w:cs="Arial"/>
          <w:b/>
          <w:bCs/>
          <w:sz w:val="24"/>
          <w:szCs w:val="24"/>
        </w:rPr>
        <w:t>er Lasri</w:t>
      </w:r>
    </w:p>
    <w:p w14:paraId="4D7EC5A7" w14:textId="7EE42279" w:rsidR="003560A8" w:rsidRDefault="00AB14D4" w:rsidP="00882B2E">
      <w:pPr>
        <w:jc w:val="center"/>
        <w:rPr>
          <w:rFonts w:asciiTheme="minorBidi" w:hAnsiTheme="minorBidi"/>
          <w:sz w:val="24"/>
          <w:szCs w:val="24"/>
        </w:rPr>
      </w:pPr>
      <w:r w:rsidRPr="00AB14D4">
        <w:rPr>
          <w:rtl/>
        </w:rPr>
        <w:t xml:space="preserve"> </w:t>
      </w:r>
      <w:r w:rsidRPr="00AB14D4">
        <w:rPr>
          <w:rFonts w:asciiTheme="minorBidi" w:hAnsiTheme="minorBidi"/>
          <w:sz w:val="24"/>
          <w:szCs w:val="24"/>
        </w:rPr>
        <w:t>Afcon Control &amp; Automation</w:t>
      </w:r>
      <w:r w:rsidR="005D4688">
        <w:rPr>
          <w:rFonts w:asciiTheme="minorBidi" w:hAnsiTheme="minorBidi"/>
          <w:sz w:val="24"/>
          <w:szCs w:val="24"/>
        </w:rPr>
        <w:t xml:space="preserve">, </w:t>
      </w:r>
      <w:r w:rsidR="003560A8" w:rsidRPr="003560A8">
        <w:rPr>
          <w:rFonts w:asciiTheme="minorBidi" w:hAnsiTheme="minorBidi"/>
          <w:sz w:val="24"/>
          <w:szCs w:val="24"/>
        </w:rPr>
        <w:t>Israel</w:t>
      </w:r>
    </w:p>
    <w:p w14:paraId="4F8531AE" w14:textId="56442CD1" w:rsidR="00AB14D4" w:rsidRPr="00AB14D4" w:rsidRDefault="00000000" w:rsidP="00AB14D4">
      <w:pPr>
        <w:jc w:val="center"/>
        <w:rPr>
          <w:rFonts w:asciiTheme="minorBidi" w:hAnsiTheme="minorBidi"/>
        </w:rPr>
      </w:pPr>
      <w:hyperlink r:id="rId4" w:history="1">
        <w:r w:rsidR="00AB14D4" w:rsidRPr="00AB14D4">
          <w:rPr>
            <w:rStyle w:val="Hyperlink"/>
            <w:rFonts w:asciiTheme="minorBidi" w:hAnsiTheme="minorBidi"/>
          </w:rPr>
          <w:t>AsherL@afcon.co.il</w:t>
        </w:r>
      </w:hyperlink>
      <w:r w:rsidR="00AB14D4">
        <w:rPr>
          <w:rFonts w:asciiTheme="minorBidi" w:hAnsiTheme="minorBidi"/>
        </w:rPr>
        <w:t xml:space="preserve"> </w:t>
      </w:r>
      <w:r w:rsidR="00AB14D4" w:rsidRPr="00AB14D4">
        <w:rPr>
          <w:rFonts w:asciiTheme="minorBidi" w:hAnsiTheme="minorBidi"/>
        </w:rPr>
        <w:t>052</w:t>
      </w:r>
      <w:r w:rsidR="00AB14D4">
        <w:rPr>
          <w:rFonts w:asciiTheme="minorBidi" w:hAnsiTheme="minorBidi"/>
        </w:rPr>
        <w:t>-</w:t>
      </w:r>
      <w:r w:rsidR="00AB14D4" w:rsidRPr="00AB14D4">
        <w:rPr>
          <w:rFonts w:asciiTheme="minorBidi" w:hAnsiTheme="minorBidi"/>
        </w:rPr>
        <w:t>5524025</w:t>
      </w:r>
    </w:p>
    <w:p w14:paraId="09DC26DE"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חברת אפקון ביצע בפרויקט קו אדום מערכת גילוי וכיבוי אש, מערכת וניהול עשן כולל מערכת טלפון כבאים ומערכת כריזת פינוי מובנים.</w:t>
      </w:r>
    </w:p>
    <w:p w14:paraId="5DCBCD3E"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מערכת כוללה את כול המבנים קשורים לקו אדום (חדרים טכניים, תחנות תת-קרקעיות כל מבני דפו חדרי בקרה ראשי בדיפו פ"ת ובמשרדי נת"ע בחולון.</w:t>
      </w:r>
    </w:p>
    <w:p w14:paraId="6E8D9F02"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רשת תקשורת אופטית ייחודית של מערכת ג"א כוללה 51 רכזות ו48 מערכות שליטה ובקרה גרפיות.</w:t>
      </w:r>
    </w:p>
    <w:p w14:paraId="4A1A079D"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 xml:space="preserve">לאורך המנהרה הותקן 23 ק"מ של כבל אופטי עבור מערכת גילוי חום בטכנולוגיה מאפשרת זיהוי מיקום אירוע בדיוק של מטר אחד בהתממשקות מלאה למערכת גילוי אש וניהל עשן משולבת במנהרה ותחנות תת-קרקעיות . </w:t>
      </w:r>
    </w:p>
    <w:p w14:paraId="63A2DD7C"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האתגר היה יישום יכולות ניהול אירוע אש על ידי כבאים בארבעה מישורים בו זמני:</w:t>
      </w:r>
    </w:p>
    <w:p w14:paraId="7A17DAE0"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1. לראות מצב התפתחות אש בתצוגה גרפית בחדרי בקרה ופנלים כבאים בתחנות תת קרקעיות.</w:t>
      </w:r>
    </w:p>
    <w:p w14:paraId="0034B4BF"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2. הפעלת תרחישים של ניהול עשן בתצוגה גרפית נוספת בחדרי בקרה ופנלים כבאים בתחנות תת קרקעיות (באישורו של חדר בקרה).</w:t>
      </w:r>
    </w:p>
    <w:p w14:paraId="0106B020"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3. ניהול שיחות מחדרי בקרה ופנלים כבאים בתחנות תת קרקעיות עם כל הטלפונים של כבאים לאורך הקו.</w:t>
      </w:r>
    </w:p>
    <w:p w14:paraId="789F5998"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4. שידור הודעות ביטחוניות לכל אזור בקו.</w:t>
      </w:r>
    </w:p>
    <w:p w14:paraId="143D1D9C"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תקשורת טלפון כבאים, כריזה בתכונית בוצע על אותה רשת תקשורת אופטית ייחודית של מערכת ג"א.</w:t>
      </w:r>
    </w:p>
    <w:p w14:paraId="07A5AC70" w14:textId="77777777" w:rsidR="00AB14D4" w:rsidRPr="00AB14D4" w:rsidRDefault="00AB14D4" w:rsidP="00AB14D4">
      <w:pPr>
        <w:rPr>
          <w:rFonts w:asciiTheme="minorBidi" w:eastAsia="Times New Roman" w:hAnsiTheme="minorBidi" w:cs="Arial"/>
          <w:sz w:val="24"/>
          <w:szCs w:val="24"/>
          <w:rtl/>
        </w:rPr>
      </w:pPr>
      <w:r w:rsidRPr="00AB14D4">
        <w:rPr>
          <w:rFonts w:asciiTheme="minorBidi" w:eastAsia="Times New Roman" w:hAnsiTheme="minorBidi" w:cs="Arial"/>
          <w:sz w:val="24"/>
          <w:szCs w:val="24"/>
          <w:rtl/>
        </w:rPr>
        <w:t xml:space="preserve">ארכיטקטורה הזאת מאפשרת שיחות מחדרי בקרה עם כל הטלפונים של כבאים לאורך הקו גם כריזה ביטחונית לכל אזור בקו. ממשק עם מערכת כריזה תפעולית מאפשרת שליחת הודעות ביטחוניות דרכה לכל האזורי כריזה בקו. </w:t>
      </w:r>
    </w:p>
    <w:p w14:paraId="6FC3FF50" w14:textId="79D4F217" w:rsidR="00720060" w:rsidRDefault="00AB14D4" w:rsidP="00AB14D4">
      <w:pPr>
        <w:rPr>
          <w:rFonts w:asciiTheme="minorBidi" w:eastAsia="Times New Roman" w:hAnsiTheme="minorBidi" w:cs="Arial"/>
          <w:sz w:val="24"/>
          <w:szCs w:val="24"/>
        </w:rPr>
      </w:pPr>
      <w:r w:rsidRPr="00AB14D4">
        <w:rPr>
          <w:rFonts w:asciiTheme="minorBidi" w:eastAsia="Times New Roman" w:hAnsiTheme="minorBidi" w:cs="Arial"/>
          <w:sz w:val="24"/>
          <w:szCs w:val="24"/>
          <w:rtl/>
        </w:rPr>
        <w:t>וכול זה בדגש לשרידות גבוה של מערכת ויתירות מחושבת של מערכת וכל ממשקה.</w:t>
      </w:r>
    </w:p>
    <w:p w14:paraId="5E48BB6F" w14:textId="65722FDE" w:rsidR="00AB14D4" w:rsidRPr="00AB14D4" w:rsidRDefault="00AB14D4" w:rsidP="00AB14D4">
      <w:pPr>
        <w:jc w:val="right"/>
        <w:rPr>
          <w:rFonts w:asciiTheme="minorBidi" w:hAnsiTheme="minorBidi"/>
          <w:sz w:val="24"/>
          <w:szCs w:val="24"/>
        </w:rPr>
      </w:pPr>
      <w:r w:rsidRPr="00AB14D4">
        <w:rPr>
          <w:rFonts w:asciiTheme="minorBidi" w:hAnsiTheme="minorBidi"/>
          <w:noProof/>
          <w:sz w:val="24"/>
          <w:szCs w:val="24"/>
        </w:rPr>
        <w:lastRenderedPageBreak/>
        <w:drawing>
          <wp:inline distT="0" distB="0" distL="0" distR="0" wp14:anchorId="0BE7FFB0" wp14:editId="08A9D077">
            <wp:extent cx="3672109" cy="2447925"/>
            <wp:effectExtent l="0" t="0" r="5080" b="0"/>
            <wp:docPr id="162532144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5416" cy="2456796"/>
                    </a:xfrm>
                    <a:prstGeom prst="rect">
                      <a:avLst/>
                    </a:prstGeom>
                    <a:noFill/>
                    <a:ln>
                      <a:noFill/>
                    </a:ln>
                  </pic:spPr>
                </pic:pic>
              </a:graphicData>
            </a:graphic>
          </wp:inline>
        </w:drawing>
      </w:r>
    </w:p>
    <w:p w14:paraId="4E50E6C8" w14:textId="77777777" w:rsidR="00AB14D4" w:rsidRPr="00720060" w:rsidRDefault="00AB14D4" w:rsidP="00AB14D4">
      <w:pPr>
        <w:jc w:val="right"/>
        <w:rPr>
          <w:rFonts w:asciiTheme="minorBidi" w:hAnsiTheme="minorBidi"/>
          <w:sz w:val="24"/>
          <w:szCs w:val="24"/>
        </w:rPr>
      </w:pPr>
    </w:p>
    <w:p w14:paraId="6593DD0F" w14:textId="77777777" w:rsidR="00AB14D4" w:rsidRPr="00AB14D4" w:rsidRDefault="00AB14D4" w:rsidP="00AB14D4">
      <w:pPr>
        <w:rPr>
          <w:rFonts w:asciiTheme="minorBidi" w:hAnsiTheme="minorBidi"/>
          <w:sz w:val="24"/>
          <w:szCs w:val="24"/>
          <w:rtl/>
        </w:rPr>
      </w:pPr>
    </w:p>
    <w:p w14:paraId="791FCD89" w14:textId="333E440E" w:rsidR="00882B2E" w:rsidRPr="00AB14D4" w:rsidRDefault="00AB14D4" w:rsidP="00AB14D4">
      <w:pPr>
        <w:rPr>
          <w:rFonts w:asciiTheme="minorBidi" w:hAnsiTheme="minorBidi" w:cs="Arial"/>
          <w:sz w:val="24"/>
          <w:szCs w:val="24"/>
        </w:rPr>
      </w:pPr>
      <w:r w:rsidRPr="00A404D9">
        <w:rPr>
          <w:rFonts w:ascii="Arial" w:eastAsia="Times New Roman" w:hAnsi="Arial" w:cs="Arial" w:hint="cs"/>
          <w:b/>
          <w:bCs/>
          <w:color w:val="4C4C4C"/>
          <w:sz w:val="24"/>
          <w:szCs w:val="24"/>
          <w:rtl/>
        </w:rPr>
        <w:t>ניסיון מקצועי</w:t>
      </w:r>
      <w:r w:rsidRPr="00AB14D4">
        <w:rPr>
          <w:rFonts w:ascii="Arial" w:eastAsia="Times New Roman" w:hAnsi="Arial" w:cs="Arial" w:hint="cs"/>
          <w:color w:val="4C4C4C"/>
          <w:sz w:val="24"/>
          <w:szCs w:val="24"/>
          <w:rtl/>
        </w:rPr>
        <w:t xml:space="preserve"> </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בוגר בית ספר להנדסאים של כפר סיטרין חיפה</w:t>
      </w:r>
      <w:r w:rsidRPr="00AB14D4">
        <w:rPr>
          <w:rFonts w:ascii="Arial" w:eastAsia="Times New Roman" w:hAnsi="Arial" w:cs="Arial"/>
          <w:color w:val="4C4C4C"/>
          <w:sz w:val="24"/>
          <w:szCs w:val="24"/>
          <w:rtl/>
        </w:rPr>
        <w:t xml:space="preserve"> </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והשלמה להנדסת במכשור ובקרה</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מגמת ניהול בכיר של המי"ל</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שרות צבאי בחיל הים</w:t>
      </w:r>
      <w:r w:rsidRPr="00AB14D4">
        <w:rPr>
          <w:rFonts w:ascii="Arial" w:eastAsia="Times New Roman" w:hAnsi="Arial" w:cs="Arial"/>
          <w:color w:val="4C4C4C"/>
          <w:sz w:val="24"/>
          <w:szCs w:val="24"/>
          <w:rtl/>
        </w:rPr>
        <w:t xml:space="preserve"> </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עובד באפקון בקרה ואוטומציה כ- 36 שנים</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 xml:space="preserve">כיום מנהל מערכות אש ובטיחות – אפקון בקרה ואוטומציה בע"מ המייצגת </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את החברות המובילות בעולם בנושא טכנולוגיות בטיחות כגון</w:t>
      </w:r>
      <w:r w:rsidRPr="00AB14D4">
        <w:rPr>
          <w:rFonts w:ascii="Arial" w:eastAsia="Times New Roman" w:hAnsi="Arial" w:cs="Arial"/>
          <w:color w:val="4C4C4C"/>
          <w:sz w:val="24"/>
          <w:szCs w:val="24"/>
        </w:rPr>
        <w:t xml:space="preserve">: Tyco,Simplex,Vesda,Holdham </w:t>
      </w:r>
      <w:r w:rsidRPr="00AB14D4">
        <w:rPr>
          <w:rFonts w:ascii="Arial" w:eastAsia="Times New Roman" w:hAnsi="Arial" w:cs="Arial" w:hint="cs"/>
          <w:color w:val="4C4C4C"/>
          <w:sz w:val="24"/>
          <w:szCs w:val="24"/>
          <w:rtl/>
        </w:rPr>
        <w:t>ועוד</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כיום מנהל את כל פעילות מערכות אש ובטיחות בחברה</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ניסיון רב בתחום האש והבטיחות, תקנים ישראלים ובינלאומיים, חידושים בטכנולוגיות ובקיא היטב במגמות המקומיות והעולמיות</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משתתף דרך קבע בכנסים בינלאומיים בתחום</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hint="cs"/>
          <w:color w:val="4C4C4C"/>
          <w:sz w:val="24"/>
          <w:szCs w:val="24"/>
          <w:rtl/>
        </w:rPr>
        <w:t>חבר בוועדות התקינה של מכון התקנים הישראלי</w:t>
      </w:r>
      <w:r w:rsidRPr="00AB14D4">
        <w:rPr>
          <w:rFonts w:ascii="Arial" w:eastAsia="Times New Roman" w:hAnsi="Arial" w:cs="Arial"/>
          <w:color w:val="4C4C4C"/>
          <w:sz w:val="24"/>
          <w:szCs w:val="24"/>
        </w:rPr>
        <w:t>.</w:t>
      </w:r>
      <w:r w:rsidRPr="00AB14D4">
        <w:rPr>
          <w:rFonts w:ascii="Arial" w:eastAsia="Times New Roman" w:hAnsi="Arial" w:cs="Arial"/>
          <w:color w:val="4C4C4C"/>
          <w:sz w:val="24"/>
          <w:szCs w:val="24"/>
        </w:rPr>
        <w:br/>
      </w:r>
      <w:r w:rsidRPr="00AB14D4">
        <w:rPr>
          <w:rFonts w:ascii="Arial" w:eastAsia="Times New Roman" w:hAnsi="Arial" w:cs="Arial"/>
          <w:color w:val="4C4C4C"/>
          <w:sz w:val="24"/>
          <w:szCs w:val="24"/>
        </w:rPr>
        <w:br/>
      </w:r>
    </w:p>
    <w:sectPr w:rsidR="00882B2E" w:rsidRPr="00AB14D4"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537D8"/>
    <w:rsid w:val="00067D47"/>
    <w:rsid w:val="000A6BBD"/>
    <w:rsid w:val="000D5509"/>
    <w:rsid w:val="000E355B"/>
    <w:rsid w:val="001648E6"/>
    <w:rsid w:val="001F459C"/>
    <w:rsid w:val="00270F2B"/>
    <w:rsid w:val="002C25EB"/>
    <w:rsid w:val="00320B2D"/>
    <w:rsid w:val="003560A8"/>
    <w:rsid w:val="004233A7"/>
    <w:rsid w:val="00474DE0"/>
    <w:rsid w:val="004D4DFE"/>
    <w:rsid w:val="00517354"/>
    <w:rsid w:val="0051759F"/>
    <w:rsid w:val="005413A2"/>
    <w:rsid w:val="005714F9"/>
    <w:rsid w:val="005D2941"/>
    <w:rsid w:val="005D4688"/>
    <w:rsid w:val="00623D47"/>
    <w:rsid w:val="00624AFF"/>
    <w:rsid w:val="006657C2"/>
    <w:rsid w:val="006857D9"/>
    <w:rsid w:val="006B4906"/>
    <w:rsid w:val="006C524E"/>
    <w:rsid w:val="00720060"/>
    <w:rsid w:val="00760903"/>
    <w:rsid w:val="007E178B"/>
    <w:rsid w:val="00882B2E"/>
    <w:rsid w:val="00894CE8"/>
    <w:rsid w:val="00917C7B"/>
    <w:rsid w:val="009E664B"/>
    <w:rsid w:val="009F4CCB"/>
    <w:rsid w:val="00A404D9"/>
    <w:rsid w:val="00AA7D8D"/>
    <w:rsid w:val="00AB14D4"/>
    <w:rsid w:val="00AD5A2E"/>
    <w:rsid w:val="00B43A71"/>
    <w:rsid w:val="00C21557"/>
    <w:rsid w:val="00CC2DD4"/>
    <w:rsid w:val="00D070BA"/>
    <w:rsid w:val="00D4731A"/>
    <w:rsid w:val="00D64B75"/>
    <w:rsid w:val="00E54082"/>
    <w:rsid w:val="00EB62A8"/>
    <w:rsid w:val="00EE7FEC"/>
    <w:rsid w:val="00EF201F"/>
    <w:rsid w:val="00EF4794"/>
    <w:rsid w:val="00F61F16"/>
    <w:rsid w:val="00F85C71"/>
    <w:rsid w:val="00FC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NormalWeb">
    <w:name w:val="Normal (Web)"/>
    <w:basedOn w:val="a"/>
    <w:uiPriority w:val="99"/>
    <w:unhideWhenUsed/>
    <w:rsid w:val="000A6B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021907">
      <w:bodyDiv w:val="1"/>
      <w:marLeft w:val="0"/>
      <w:marRight w:val="0"/>
      <w:marTop w:val="0"/>
      <w:marBottom w:val="0"/>
      <w:divBdr>
        <w:top w:val="none" w:sz="0" w:space="0" w:color="auto"/>
        <w:left w:val="none" w:sz="0" w:space="0" w:color="auto"/>
        <w:bottom w:val="none" w:sz="0" w:space="0" w:color="auto"/>
        <w:right w:val="none" w:sz="0" w:space="0" w:color="auto"/>
      </w:divBdr>
    </w:div>
    <w:div w:id="1150707682">
      <w:bodyDiv w:val="1"/>
      <w:marLeft w:val="0"/>
      <w:marRight w:val="0"/>
      <w:marTop w:val="0"/>
      <w:marBottom w:val="0"/>
      <w:divBdr>
        <w:top w:val="none" w:sz="0" w:space="0" w:color="auto"/>
        <w:left w:val="none" w:sz="0" w:space="0" w:color="auto"/>
        <w:bottom w:val="none" w:sz="0" w:space="0" w:color="auto"/>
        <w:right w:val="none" w:sz="0" w:space="0" w:color="auto"/>
      </w:divBdr>
    </w:div>
    <w:div w:id="1481729596">
      <w:bodyDiv w:val="1"/>
      <w:marLeft w:val="0"/>
      <w:marRight w:val="0"/>
      <w:marTop w:val="0"/>
      <w:marBottom w:val="0"/>
      <w:divBdr>
        <w:top w:val="none" w:sz="0" w:space="0" w:color="auto"/>
        <w:left w:val="none" w:sz="0" w:space="0" w:color="auto"/>
        <w:bottom w:val="none" w:sz="0" w:space="0" w:color="auto"/>
        <w:right w:val="none" w:sz="0" w:space="0" w:color="auto"/>
      </w:divBdr>
    </w:div>
    <w:div w:id="1721246020">
      <w:bodyDiv w:val="1"/>
      <w:marLeft w:val="0"/>
      <w:marRight w:val="0"/>
      <w:marTop w:val="0"/>
      <w:marBottom w:val="0"/>
      <w:divBdr>
        <w:top w:val="none" w:sz="0" w:space="0" w:color="auto"/>
        <w:left w:val="none" w:sz="0" w:space="0" w:color="auto"/>
        <w:bottom w:val="none" w:sz="0" w:space="0" w:color="auto"/>
        <w:right w:val="none" w:sz="0" w:space="0" w:color="auto"/>
      </w:divBdr>
    </w:div>
    <w:div w:id="1837570416">
      <w:bodyDiv w:val="1"/>
      <w:marLeft w:val="0"/>
      <w:marRight w:val="0"/>
      <w:marTop w:val="0"/>
      <w:marBottom w:val="0"/>
      <w:divBdr>
        <w:top w:val="none" w:sz="0" w:space="0" w:color="auto"/>
        <w:left w:val="none" w:sz="0" w:space="0" w:color="auto"/>
        <w:bottom w:val="none" w:sz="0" w:space="0" w:color="auto"/>
        <w:right w:val="none" w:sz="0" w:space="0" w:color="auto"/>
      </w:divBdr>
    </w:div>
    <w:div w:id="19881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sherL@afcon.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318</Words>
  <Characters>1818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31</cp:revision>
  <dcterms:created xsi:type="dcterms:W3CDTF">2023-04-11T10:51:00Z</dcterms:created>
  <dcterms:modified xsi:type="dcterms:W3CDTF">2024-08-21T10:43:00Z</dcterms:modified>
</cp:coreProperties>
</file>